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2530BC5" w14:textId="184845FA" w:rsidR="005B403A" w:rsidRPr="009D6A07" w:rsidRDefault="005B403A" w:rsidP="005B403A">
      <w:pPr>
        <w:tabs>
          <w:tab w:val="left" w:pos="1418"/>
        </w:tabs>
        <w:spacing w:after="0"/>
        <w:ind w:left="-567"/>
        <w:rPr>
          <w:rFonts w:cstheme="minorHAnsi"/>
          <w:sz w:val="18"/>
          <w:szCs w:val="18"/>
        </w:rPr>
      </w:pPr>
      <w:r w:rsidRPr="00093069">
        <w:rPr>
          <w:rFonts w:cstheme="minorHAnsi"/>
          <w:sz w:val="18"/>
          <w:szCs w:val="18"/>
        </w:rPr>
        <w:t xml:space="preserve">Załącznik nr </w:t>
      </w:r>
      <w:r w:rsidR="00F1464C">
        <w:rPr>
          <w:rFonts w:cstheme="minorHAnsi"/>
          <w:sz w:val="18"/>
          <w:szCs w:val="18"/>
        </w:rPr>
        <w:t>8</w:t>
      </w:r>
      <w:r w:rsidRPr="009D6A07">
        <w:rPr>
          <w:rFonts w:cstheme="minorHAnsi"/>
          <w:sz w:val="18"/>
          <w:szCs w:val="18"/>
        </w:rPr>
        <w:t xml:space="preserve"> do Regulaminu rekrutacji i uczestnictwa w </w:t>
      </w:r>
      <w:r w:rsidRPr="00093069">
        <w:rPr>
          <w:rFonts w:cstheme="minorHAnsi"/>
          <w:sz w:val="18"/>
          <w:szCs w:val="18"/>
        </w:rPr>
        <w:t>projekcie „Z nauką przez życie”</w:t>
      </w:r>
    </w:p>
    <w:p w14:paraId="06F75C29" w14:textId="77777777" w:rsidR="005B403A" w:rsidRPr="009D6A07" w:rsidRDefault="005B403A" w:rsidP="005B403A">
      <w:pPr>
        <w:spacing w:after="0"/>
        <w:jc w:val="center"/>
        <w:rPr>
          <w:rFonts w:cstheme="minorHAnsi"/>
          <w:b/>
          <w:bCs/>
        </w:rPr>
      </w:pPr>
    </w:p>
    <w:p w14:paraId="5A975155" w14:textId="77777777" w:rsidR="005B403A" w:rsidRPr="009D6A07" w:rsidRDefault="005B403A" w:rsidP="005B403A">
      <w:pPr>
        <w:spacing w:after="0"/>
        <w:jc w:val="center"/>
        <w:rPr>
          <w:rFonts w:cstheme="minorHAnsi"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Klauzula informacyjna Instytucji Pośredniczącej</w:t>
      </w:r>
    </w:p>
    <w:p w14:paraId="7A180BCF" w14:textId="77777777" w:rsidR="005B403A" w:rsidRPr="009D6A07" w:rsidRDefault="005B403A" w:rsidP="005B403A">
      <w:pPr>
        <w:suppressAutoHyphens/>
        <w:autoSpaceDN w:val="0"/>
        <w:spacing w:after="0"/>
        <w:jc w:val="right"/>
        <w:textAlignment w:val="baseline"/>
        <w:rPr>
          <w:rFonts w:cstheme="minorHAnsi"/>
        </w:rPr>
      </w:pPr>
    </w:p>
    <w:p w14:paraId="0789ED8D" w14:textId="77777777" w:rsidR="005B403A" w:rsidRPr="00800518" w:rsidRDefault="005B403A" w:rsidP="005B403A">
      <w:p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>W celu wykonania obowiązku nałożonego art. 13 i 14 RODO</w:t>
      </w:r>
      <w:r w:rsidRPr="00800518">
        <w:rPr>
          <w:rStyle w:val="Odwoanieprzypisudolnego"/>
          <w:rFonts w:eastAsia="Calibri" w:cstheme="minorHAnsi"/>
          <w:color w:val="000000"/>
          <w:sz w:val="24"/>
          <w:szCs w:val="24"/>
        </w:rPr>
        <w:footnoteReference w:id="1"/>
      </w:r>
      <w:r w:rsidRPr="00800518">
        <w:rPr>
          <w:rFonts w:eastAsia="Calibri" w:cstheme="minorHAnsi"/>
          <w:color w:val="000000"/>
          <w:sz w:val="24"/>
          <w:szCs w:val="24"/>
        </w:rPr>
        <w:t>, w związku z art. 88 ustawy o zasadach realizacji zadań finansowanych ze środków europejskich w perspektywie finansowej 2021-2027</w:t>
      </w:r>
      <w:r w:rsidRPr="00800518">
        <w:rPr>
          <w:rStyle w:val="Odwoanieprzypisudolnego"/>
          <w:rFonts w:eastAsia="Calibri" w:cstheme="minorHAnsi"/>
          <w:color w:val="000000"/>
          <w:sz w:val="24"/>
          <w:szCs w:val="24"/>
        </w:rPr>
        <w:footnoteReference w:id="2"/>
      </w:r>
      <w:r w:rsidRPr="00800518">
        <w:rPr>
          <w:rFonts w:eastAsia="Calibri" w:cstheme="minorHAnsi"/>
          <w:color w:val="000000"/>
          <w:sz w:val="24"/>
          <w:szCs w:val="24"/>
        </w:rPr>
        <w:t xml:space="preserve">, informujemy o zasadach przetwarzania Państwa danych osobowych: </w:t>
      </w:r>
    </w:p>
    <w:p w14:paraId="516AFCAF" w14:textId="77777777" w:rsidR="005B403A" w:rsidRPr="00800518" w:rsidRDefault="005B403A" w:rsidP="005B403A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/>
        <w:rPr>
          <w:rFonts w:eastAsia="Calibri" w:cstheme="minorHAnsi"/>
          <w:b/>
          <w:bCs/>
          <w:color w:val="000000"/>
          <w:sz w:val="24"/>
          <w:szCs w:val="24"/>
        </w:rPr>
      </w:pPr>
      <w:r w:rsidRPr="00800518">
        <w:rPr>
          <w:rFonts w:eastAsia="Calibri" w:cstheme="minorHAnsi"/>
          <w:b/>
          <w:bCs/>
          <w:color w:val="000000"/>
          <w:sz w:val="24"/>
          <w:szCs w:val="24"/>
        </w:rPr>
        <w:t>Administrator</w:t>
      </w:r>
    </w:p>
    <w:p w14:paraId="106CA3D6" w14:textId="77777777" w:rsidR="005B403A" w:rsidRPr="00800518" w:rsidRDefault="005B403A" w:rsidP="005B403A">
      <w:p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>Odrębnym administratorem Państwa danych jest Instytucja Pośrednicząca Funduszy Europejskich dla Mazowsza 2021-2027, tj. Mazowiecka Jednostka Wdrażania Programów Unijnych z siedzibą przy ul. Inflanckiej 4, 00-189 Warszawa (adres).</w:t>
      </w:r>
    </w:p>
    <w:p w14:paraId="32D60F8D" w14:textId="77777777" w:rsidR="005B403A" w:rsidRPr="00800518" w:rsidRDefault="005B403A" w:rsidP="005B403A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/>
        <w:rPr>
          <w:rFonts w:eastAsia="Calibri" w:cstheme="minorHAnsi"/>
          <w:b/>
          <w:bCs/>
          <w:color w:val="000000"/>
          <w:sz w:val="24"/>
          <w:szCs w:val="24"/>
        </w:rPr>
      </w:pPr>
      <w:r w:rsidRPr="00800518">
        <w:rPr>
          <w:rFonts w:eastAsia="Calibri" w:cstheme="minorHAnsi"/>
          <w:b/>
          <w:bCs/>
          <w:color w:val="000000"/>
          <w:sz w:val="24"/>
          <w:szCs w:val="24"/>
        </w:rPr>
        <w:t>Cel przetwarzania danych</w:t>
      </w:r>
    </w:p>
    <w:p w14:paraId="591F60A6" w14:textId="77777777" w:rsidR="005B403A" w:rsidRPr="00800518" w:rsidRDefault="005B403A" w:rsidP="005B403A">
      <w:pPr>
        <w:pStyle w:val="Akapitzlist"/>
        <w:numPr>
          <w:ilvl w:val="0"/>
          <w:numId w:val="2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>dane osobowe będą przetwarzać w związku z realizacją FEM 2021-2027, w szczególności w celu monitorowania, sprawozdawczości, komunikacji, publikacji, ewaluacji, zarządzania finansowego, weryfikacji i audytów oraz do celów określania kwalifikowalności uczestników;</w:t>
      </w:r>
    </w:p>
    <w:p w14:paraId="23CBA4A3" w14:textId="77777777" w:rsidR="005B403A" w:rsidRPr="00800518" w:rsidRDefault="005B403A" w:rsidP="005B403A">
      <w:pPr>
        <w:pStyle w:val="Akapitzlist"/>
        <w:numPr>
          <w:ilvl w:val="0"/>
          <w:numId w:val="2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>podanie danych jest dobrowolne, ale konieczne do realizacji wyżej wymienionego celu. Odmowa ich podania jest równoznaczna z brakiem możliwości podjęcia stosownych działań.</w:t>
      </w:r>
    </w:p>
    <w:p w14:paraId="5677BD02" w14:textId="77777777" w:rsidR="005B403A" w:rsidRPr="00800518" w:rsidRDefault="005B403A" w:rsidP="005B403A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/>
        <w:rPr>
          <w:rFonts w:eastAsia="Calibri" w:cstheme="minorHAnsi"/>
          <w:b/>
          <w:bCs/>
          <w:color w:val="000000"/>
          <w:sz w:val="24"/>
          <w:szCs w:val="24"/>
        </w:rPr>
      </w:pPr>
      <w:r w:rsidRPr="00800518">
        <w:rPr>
          <w:rFonts w:eastAsia="Calibri" w:cstheme="minorHAnsi"/>
          <w:b/>
          <w:bCs/>
          <w:color w:val="000000"/>
          <w:sz w:val="24"/>
          <w:szCs w:val="24"/>
        </w:rPr>
        <w:t>Podstawa przetwarzania</w:t>
      </w:r>
    </w:p>
    <w:p w14:paraId="4A9ACD9E" w14:textId="77777777" w:rsidR="005B403A" w:rsidRPr="00800518" w:rsidRDefault="005B403A" w:rsidP="005B403A">
      <w:p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>Będziemy przetwarzać Państwa dane osobowe w związku z tym, że:</w:t>
      </w:r>
    </w:p>
    <w:p w14:paraId="2FCF02B6" w14:textId="77777777" w:rsidR="005B403A" w:rsidRPr="00800518" w:rsidRDefault="005B403A" w:rsidP="005B403A">
      <w:p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 xml:space="preserve">Zobowiązuje nas do tego </w:t>
      </w:r>
      <w:r w:rsidRPr="00800518">
        <w:rPr>
          <w:rFonts w:eastAsia="Calibri" w:cstheme="minorHAnsi"/>
          <w:b/>
          <w:bCs/>
          <w:color w:val="000000"/>
          <w:sz w:val="24"/>
          <w:szCs w:val="24"/>
        </w:rPr>
        <w:t>prawo</w:t>
      </w:r>
      <w:r w:rsidRPr="00800518">
        <w:rPr>
          <w:rFonts w:eastAsia="Calibri" w:cstheme="minorHAnsi"/>
          <w:color w:val="000000"/>
          <w:sz w:val="24"/>
          <w:szCs w:val="24"/>
        </w:rPr>
        <w:t xml:space="preserve"> (art. 6 ust. 1 lit. c i art. 9 ust. 2 lit. g):</w:t>
      </w:r>
    </w:p>
    <w:p w14:paraId="33A7D191" w14:textId="77777777" w:rsidR="005B403A" w:rsidRPr="00800518" w:rsidRDefault="005B403A" w:rsidP="005B403A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 xml:space="preserve">rozporządzenie Parlamentu Europejskiego i Rady (UE) nr 2021/1060 z 24 czerwca 2021 r. ustanawiającego wspólne przepisy dotyczące Europejskiego Funduszu Rozwoju Regionalnego, Europejskiego Funduszu Społecznego Plus, Funduszu Spójności, Funduszu na rzecz Sprawiedliwej Transformacji i Europejskiego Funduszu Morskiego, Rybackiego i Akwakultury, a także przepisy finansowe na potrzeby tych funduszy oraz na Funduszu Azylu, Migracji i Integracji, Funduszu Bezpieczeństwa Wewnętrznego i Instrumentu Wsparcia Finansowego na rzecz Zarządzania Granicami i Polityki Wizowej (Dz. Urz. UE L 231 z 30.06.2021, str. 159, z póź. zm.);  </w:t>
      </w:r>
    </w:p>
    <w:p w14:paraId="481F6C29" w14:textId="77777777" w:rsidR="005B403A" w:rsidRPr="00800518" w:rsidRDefault="005B403A" w:rsidP="005B403A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>rozporządzenie Parlamentu Europejskiego i Rady (UE) 2021/1057 z dnia 24 czerwca 2021 r. ustanawiające Europejski Fundusz Społeczny Plus (EFS+) oraz uchylające rozporządzenie (UE) nr 1296/2013 (Dz. Urz. UE L 231 z 30.06.2021, str. 21, z późn. zm.);</w:t>
      </w:r>
    </w:p>
    <w:p w14:paraId="78853B7B" w14:textId="77777777" w:rsidR="005B403A" w:rsidRPr="00800518" w:rsidRDefault="005B403A" w:rsidP="005B403A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lastRenderedPageBreak/>
        <w:t>ustawa z dnia 28 kwietnia 2022 r. o zasadach realizacji zdań finansowanych ze środków europejskich w perspektywie finansowej 2021-2027, w szczególności art. 87-93.</w:t>
      </w:r>
    </w:p>
    <w:p w14:paraId="2A47CEAD" w14:textId="77777777" w:rsidR="005B403A" w:rsidRPr="00800518" w:rsidRDefault="005B403A" w:rsidP="005B403A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/>
        <w:rPr>
          <w:rFonts w:eastAsia="Calibri" w:cstheme="minorHAnsi"/>
          <w:b/>
          <w:bCs/>
          <w:color w:val="000000"/>
          <w:sz w:val="24"/>
          <w:szCs w:val="24"/>
        </w:rPr>
      </w:pPr>
      <w:r w:rsidRPr="00800518">
        <w:rPr>
          <w:rFonts w:eastAsia="Calibri" w:cstheme="minorHAnsi"/>
          <w:b/>
          <w:bCs/>
          <w:color w:val="000000"/>
          <w:sz w:val="24"/>
          <w:szCs w:val="24"/>
        </w:rPr>
        <w:t>Sposób pozyskiwania danych</w:t>
      </w:r>
    </w:p>
    <w:p w14:paraId="1FD09964" w14:textId="77777777" w:rsidR="005B403A" w:rsidRPr="00800518" w:rsidRDefault="005B403A" w:rsidP="005B403A">
      <w:p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>Dane pozyskujemy bezpośrednio od osób, których one dotyczą, albo od instytucji i podmiotów zaangażowanych w realizację Programu, w tym w szczególności od wnioskodawców, beneficjentów, partnerów.</w:t>
      </w:r>
    </w:p>
    <w:p w14:paraId="2099634D" w14:textId="77777777" w:rsidR="005B403A" w:rsidRPr="00800518" w:rsidRDefault="005B403A" w:rsidP="005B403A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/>
        <w:rPr>
          <w:rFonts w:eastAsia="Calibri" w:cstheme="minorHAnsi"/>
          <w:b/>
          <w:bCs/>
          <w:color w:val="000000"/>
          <w:sz w:val="24"/>
          <w:szCs w:val="24"/>
        </w:rPr>
      </w:pPr>
      <w:r w:rsidRPr="00800518">
        <w:rPr>
          <w:rFonts w:eastAsia="Calibri" w:cstheme="minorHAnsi"/>
          <w:b/>
          <w:bCs/>
          <w:color w:val="000000"/>
          <w:sz w:val="24"/>
          <w:szCs w:val="24"/>
        </w:rPr>
        <w:t>Dostęp do danych osobowych</w:t>
      </w:r>
    </w:p>
    <w:p w14:paraId="37834FDF" w14:textId="77777777" w:rsidR="005B403A" w:rsidRPr="00800518" w:rsidRDefault="005B403A" w:rsidP="005B403A">
      <w:p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>Dostęp do Państwa danych osobowych mają pracownicy i współpracownicy administratora. Ponadto Państwa dane osobowe mogą być powierzane lub udostępniane:</w:t>
      </w:r>
    </w:p>
    <w:p w14:paraId="439C021E" w14:textId="77777777" w:rsidR="005B403A" w:rsidRPr="00800518" w:rsidRDefault="005B403A" w:rsidP="005B403A">
      <w:pPr>
        <w:pStyle w:val="Akapitzlist"/>
        <w:numPr>
          <w:ilvl w:val="0"/>
          <w:numId w:val="4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 xml:space="preserve">podmiotom, którym zleciliśmy wykonywanie zadań w ramach FEM 2021-2027; </w:t>
      </w:r>
    </w:p>
    <w:p w14:paraId="530A0626" w14:textId="77777777" w:rsidR="005B403A" w:rsidRPr="00800518" w:rsidRDefault="005B403A" w:rsidP="005B403A">
      <w:pPr>
        <w:pStyle w:val="Akapitzlist"/>
        <w:numPr>
          <w:ilvl w:val="0"/>
          <w:numId w:val="4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>organom Komisji Europejskiej, ministrowi właściwemu do spraw finansów publicznych, prezesowi zakładu ubezpieczeń społecznych;</w:t>
      </w:r>
    </w:p>
    <w:p w14:paraId="429AC40F" w14:textId="77777777" w:rsidR="005B403A" w:rsidRPr="00800518" w:rsidRDefault="005B403A" w:rsidP="005B403A">
      <w:pPr>
        <w:pStyle w:val="Akapitzlist"/>
        <w:numPr>
          <w:ilvl w:val="0"/>
          <w:numId w:val="4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>podmiotom, które wykonują dla nas usługi związane z obsługą i rozwojem systemów teleinformatycznych, a także zapewnieniem łączności, np. dostawcom rozwiązań IT i operatorom telekomunikacyjnym;</w:t>
      </w:r>
    </w:p>
    <w:p w14:paraId="46604EA3" w14:textId="77777777" w:rsidR="005B403A" w:rsidRPr="00800518" w:rsidRDefault="005B403A" w:rsidP="005B403A">
      <w:pPr>
        <w:pStyle w:val="Akapitzlist"/>
        <w:numPr>
          <w:ilvl w:val="0"/>
          <w:numId w:val="4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 xml:space="preserve">innym podmiotom upoważnionym na podstawie odrębnych przepisów prawa. </w:t>
      </w:r>
    </w:p>
    <w:p w14:paraId="77B59F39" w14:textId="77777777" w:rsidR="005B403A" w:rsidRPr="00800518" w:rsidRDefault="005B403A" w:rsidP="005B403A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/>
        <w:rPr>
          <w:rFonts w:eastAsia="Calibri" w:cstheme="minorHAnsi"/>
          <w:b/>
          <w:bCs/>
          <w:color w:val="000000"/>
          <w:sz w:val="24"/>
          <w:szCs w:val="24"/>
        </w:rPr>
      </w:pPr>
      <w:r w:rsidRPr="00800518">
        <w:rPr>
          <w:rFonts w:eastAsia="Calibri" w:cstheme="minorHAnsi"/>
          <w:b/>
          <w:bCs/>
          <w:color w:val="000000"/>
          <w:sz w:val="24"/>
          <w:szCs w:val="24"/>
        </w:rPr>
        <w:t>Okres przechowywania danych</w:t>
      </w:r>
    </w:p>
    <w:p w14:paraId="0DAA5003" w14:textId="77777777" w:rsidR="005B403A" w:rsidRPr="00800518" w:rsidRDefault="005B403A" w:rsidP="005B403A">
      <w:p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 xml:space="preserve">Dane osobowe są przechowywane przez okres niezbędny do realizacji celów określonych w punkcie 2. </w:t>
      </w:r>
    </w:p>
    <w:p w14:paraId="59CC31C5" w14:textId="77777777" w:rsidR="005B403A" w:rsidRPr="00800518" w:rsidRDefault="005B403A" w:rsidP="005B403A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/>
        <w:rPr>
          <w:rFonts w:eastAsia="Calibri" w:cstheme="minorHAnsi"/>
          <w:b/>
          <w:bCs/>
          <w:color w:val="000000"/>
          <w:sz w:val="24"/>
          <w:szCs w:val="24"/>
        </w:rPr>
      </w:pPr>
      <w:r w:rsidRPr="00800518">
        <w:rPr>
          <w:rFonts w:eastAsia="Calibri" w:cstheme="minorHAnsi"/>
          <w:b/>
          <w:bCs/>
          <w:color w:val="000000"/>
          <w:sz w:val="24"/>
          <w:szCs w:val="24"/>
        </w:rPr>
        <w:t>Prawa osób, których dane dotyczą</w:t>
      </w:r>
    </w:p>
    <w:p w14:paraId="099E32A1" w14:textId="77777777" w:rsidR="005B403A" w:rsidRPr="00800518" w:rsidRDefault="005B403A" w:rsidP="005B403A">
      <w:p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 xml:space="preserve">Przysługują Państwu następujące prawa: </w:t>
      </w:r>
    </w:p>
    <w:p w14:paraId="1508F8B9" w14:textId="77777777" w:rsidR="005B403A" w:rsidRPr="00800518" w:rsidRDefault="005B403A" w:rsidP="005B403A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>prawo dostępu do swoich danych oraz otrzymania ich kopii (art. 15 RODO);</w:t>
      </w:r>
    </w:p>
    <w:p w14:paraId="143A8775" w14:textId="77777777" w:rsidR="005B403A" w:rsidRPr="00800518" w:rsidRDefault="005B403A" w:rsidP="005B403A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>prawo do sprostowania swoich danych (art. 16 RODO);</w:t>
      </w:r>
    </w:p>
    <w:p w14:paraId="246B5A77" w14:textId="77777777" w:rsidR="005B403A" w:rsidRPr="00800518" w:rsidRDefault="005B403A" w:rsidP="005B403A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>prawo do usunięcia swoich danych (art. 17 RODO) – jeśli nie zaistniały okoliczności, o których mowa w art. 17 ust. 3 RODO;</w:t>
      </w:r>
    </w:p>
    <w:p w14:paraId="457A3B3B" w14:textId="77777777" w:rsidR="005B403A" w:rsidRPr="00800518" w:rsidRDefault="005B403A" w:rsidP="005B403A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>prawo do żądania od administratora ograniczenia przetwarzania swoich danych (art. 18 RODO);</w:t>
      </w:r>
    </w:p>
    <w:p w14:paraId="7D3F2284" w14:textId="77777777" w:rsidR="005B403A" w:rsidRPr="00800518" w:rsidRDefault="005B403A" w:rsidP="005B403A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>prawo do przenoszenia swoich danych (art. 20 RODO) – jeśli przetwarzanie odbywa się na podstawie umowy: w celu jej zawarcia lub realizacji (w myśl art. 6 ust. 1 lit. b RODO), oraz w sposób zautomatyzowany</w:t>
      </w:r>
      <w:r w:rsidRPr="00800518">
        <w:rPr>
          <w:rStyle w:val="Odwoanieprzypisudolnego"/>
          <w:rFonts w:eastAsia="Calibri" w:cstheme="minorHAnsi"/>
          <w:color w:val="000000"/>
          <w:sz w:val="24"/>
          <w:szCs w:val="24"/>
        </w:rPr>
        <w:footnoteReference w:id="3"/>
      </w:r>
      <w:r w:rsidRPr="00800518">
        <w:rPr>
          <w:rFonts w:eastAsia="Calibri" w:cstheme="minorHAnsi"/>
          <w:color w:val="000000"/>
          <w:sz w:val="24"/>
          <w:szCs w:val="24"/>
        </w:rPr>
        <w:t>;</w:t>
      </w:r>
    </w:p>
    <w:p w14:paraId="7A1C2B38" w14:textId="77777777" w:rsidR="005B403A" w:rsidRPr="00800518" w:rsidRDefault="005B403A" w:rsidP="005B403A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>prawo wniesienia skargi do organu nadzorczego Prezesa Urzędu Ochrony Danych Osobowych (art. 77 RODO) – w przypadku, gdy osoba uzna, iż przetwarzanie jej danych osobowych narusza przepisy RODO lub inne krajowe przepisy regulujące kwestię ochrony danych osobowych, obowiązujących w Polsce.</w:t>
      </w:r>
    </w:p>
    <w:p w14:paraId="25B2FA8E" w14:textId="77777777" w:rsidR="005B403A" w:rsidRPr="00800518" w:rsidRDefault="005B403A" w:rsidP="005B403A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/>
        <w:rPr>
          <w:rFonts w:eastAsia="Calibri" w:cstheme="minorHAnsi"/>
          <w:b/>
          <w:bCs/>
          <w:color w:val="000000"/>
          <w:sz w:val="24"/>
          <w:szCs w:val="24"/>
        </w:rPr>
      </w:pPr>
      <w:r w:rsidRPr="00800518">
        <w:rPr>
          <w:rFonts w:eastAsia="Calibri" w:cstheme="minorHAnsi"/>
          <w:b/>
          <w:bCs/>
          <w:color w:val="000000"/>
          <w:sz w:val="24"/>
          <w:szCs w:val="24"/>
        </w:rPr>
        <w:t>Zautomatyzowane podejmowanie decyzji</w:t>
      </w:r>
    </w:p>
    <w:p w14:paraId="5E42F320" w14:textId="77777777" w:rsidR="005B403A" w:rsidRPr="00800518" w:rsidRDefault="005B403A" w:rsidP="005B403A">
      <w:p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>Dane osobowe nie będą podlegały zautomatyzowanemu podejmowaniu decyzji, w tym profilowaniu.</w:t>
      </w:r>
    </w:p>
    <w:p w14:paraId="4975EEC9" w14:textId="77777777" w:rsidR="005B403A" w:rsidRPr="00800518" w:rsidRDefault="005B403A" w:rsidP="005B403A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/>
        <w:rPr>
          <w:rFonts w:eastAsia="Calibri" w:cstheme="minorHAnsi"/>
          <w:b/>
          <w:bCs/>
          <w:color w:val="000000"/>
          <w:sz w:val="24"/>
          <w:szCs w:val="24"/>
        </w:rPr>
      </w:pPr>
      <w:r w:rsidRPr="00800518">
        <w:rPr>
          <w:rFonts w:eastAsia="Calibri" w:cstheme="minorHAnsi"/>
          <w:b/>
          <w:bCs/>
          <w:color w:val="000000"/>
          <w:sz w:val="24"/>
          <w:szCs w:val="24"/>
        </w:rPr>
        <w:t>Przekazywanie danych do państwa trzeciego</w:t>
      </w:r>
    </w:p>
    <w:p w14:paraId="4C567EE5" w14:textId="77777777" w:rsidR="005B403A" w:rsidRPr="00800518" w:rsidRDefault="005B403A" w:rsidP="005B403A">
      <w:p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lastRenderedPageBreak/>
        <w:t>Państwa dane osobowe nie będą przekazywane do państwa trzeciego.</w:t>
      </w:r>
    </w:p>
    <w:p w14:paraId="2D4EE3EB" w14:textId="77777777" w:rsidR="005B403A" w:rsidRPr="00800518" w:rsidRDefault="005B403A" w:rsidP="005B403A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/>
        <w:rPr>
          <w:rFonts w:eastAsia="Calibri" w:cstheme="minorHAnsi"/>
          <w:b/>
          <w:bCs/>
          <w:color w:val="000000"/>
          <w:sz w:val="24"/>
          <w:szCs w:val="24"/>
        </w:rPr>
      </w:pPr>
      <w:r w:rsidRPr="00800518">
        <w:rPr>
          <w:rFonts w:eastAsia="Calibri" w:cstheme="minorHAnsi"/>
          <w:b/>
          <w:bCs/>
          <w:color w:val="000000"/>
          <w:sz w:val="24"/>
          <w:szCs w:val="24"/>
        </w:rPr>
        <w:t xml:space="preserve">Kontakt z administratorem danych i Inspektorem Ochrony Danych </w:t>
      </w:r>
    </w:p>
    <w:p w14:paraId="468A8836" w14:textId="77777777" w:rsidR="005B403A" w:rsidRPr="00800518" w:rsidRDefault="005B403A" w:rsidP="005B403A">
      <w:pPr>
        <w:autoSpaceDE w:val="0"/>
        <w:autoSpaceDN w:val="0"/>
        <w:adjustRightInd w:val="0"/>
        <w:spacing w:after="0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 xml:space="preserve">Jeśli mają Państwo pytania dotyczące przetwarzania przez Instytucję Pośredniczącą tj. Mazowiecką Jednostkę Wdrażania Programów Unijnych w ramach FEM 2021-2027, prosimy kontaktować się z Inspektorem Ochrony Danych (IOD) w następujący sposób: pocztą tradycyjną na adres: ul. Inflancka 4, 00-189 Warszawa (adres), elektronicznie: na adres e-mail: </w:t>
      </w:r>
      <w:hyperlink r:id="rId7" w:history="1">
        <w:r w:rsidRPr="00800518">
          <w:rPr>
            <w:rStyle w:val="Hipercze"/>
            <w:rFonts w:eastAsia="Calibri" w:cstheme="minorHAnsi"/>
            <w:sz w:val="24"/>
            <w:szCs w:val="24"/>
          </w:rPr>
          <w:t>iod@mazovia.pl</w:t>
        </w:r>
      </w:hyperlink>
      <w:r w:rsidRPr="00800518">
        <w:rPr>
          <w:rFonts w:eastAsia="Calibri" w:cstheme="minorHAnsi"/>
          <w:color w:val="000000"/>
          <w:sz w:val="24"/>
          <w:szCs w:val="24"/>
        </w:rPr>
        <w:t>.</w:t>
      </w:r>
    </w:p>
    <w:p w14:paraId="4B98514A" w14:textId="77777777" w:rsidR="005B403A" w:rsidRPr="00800518" w:rsidRDefault="005B403A" w:rsidP="005B403A">
      <w:pPr>
        <w:autoSpaceDE w:val="0"/>
        <w:autoSpaceDN w:val="0"/>
        <w:adjustRightInd w:val="0"/>
        <w:spacing w:after="0"/>
        <w:jc w:val="both"/>
        <w:rPr>
          <w:rFonts w:eastAsia="Calibri" w:cstheme="minorHAnsi"/>
          <w:color w:val="000000"/>
          <w:sz w:val="24"/>
          <w:szCs w:val="24"/>
        </w:rPr>
      </w:pPr>
      <w:r w:rsidRPr="00800518">
        <w:rPr>
          <w:rFonts w:eastAsia="Calibri" w:cstheme="minorHAnsi"/>
          <w:color w:val="000000"/>
          <w:sz w:val="24"/>
          <w:szCs w:val="24"/>
        </w:rPr>
        <w:t xml:space="preserve"> </w:t>
      </w:r>
    </w:p>
    <w:p w14:paraId="2D735D46" w14:textId="77777777" w:rsidR="005B403A" w:rsidRPr="00800518" w:rsidRDefault="005B403A" w:rsidP="005B403A">
      <w:pPr>
        <w:spacing w:after="0"/>
        <w:jc w:val="center"/>
        <w:rPr>
          <w:rFonts w:cstheme="minorHAnsi"/>
          <w:sz w:val="24"/>
          <w:szCs w:val="24"/>
          <w:highlight w:val="yellow"/>
        </w:rPr>
      </w:pPr>
    </w:p>
    <w:p w14:paraId="3DCE14A8" w14:textId="330EBBF8" w:rsidR="005B403A" w:rsidRPr="00084124" w:rsidRDefault="005B403A" w:rsidP="005B403A">
      <w:pPr>
        <w:spacing w:after="0"/>
        <w:jc w:val="center"/>
        <w:rPr>
          <w:rFonts w:cstheme="minorHAnsi"/>
        </w:rPr>
      </w:pPr>
      <w:r w:rsidRPr="00093069">
        <w:rPr>
          <w:rFonts w:cstheme="minorHAnsi"/>
        </w:rPr>
        <w:t xml:space="preserve">Potwierdzam, że otrzymałem/am egzemplarz klauzuli informacyjnej o przetwarzaniu moich danych osobowych zgodnie z art. 13 Rozporządzenia Parlamentu Europejskiego </w:t>
      </w:r>
      <w:r w:rsidRPr="00093069">
        <w:rPr>
          <w:rFonts w:eastAsia="Calibri" w:cstheme="minorHAnsi"/>
          <w:color w:val="000000"/>
        </w:rPr>
        <w:t>i Rady (UE) 2016/679 z dn. 27 kwietnia 2016</w:t>
      </w:r>
      <w:r w:rsidR="00093069">
        <w:rPr>
          <w:rFonts w:eastAsia="Calibri" w:cstheme="minorHAnsi"/>
          <w:color w:val="000000"/>
        </w:rPr>
        <w:t xml:space="preserve"> </w:t>
      </w:r>
      <w:r w:rsidRPr="00093069">
        <w:rPr>
          <w:rFonts w:eastAsia="Calibri" w:cstheme="minorHAnsi"/>
          <w:color w:val="000000"/>
        </w:rPr>
        <w:t>r.</w:t>
      </w:r>
    </w:p>
    <w:p w14:paraId="25FB3CC9" w14:textId="77777777" w:rsidR="005B403A" w:rsidRDefault="005B403A" w:rsidP="005B403A">
      <w:pPr>
        <w:spacing w:after="0"/>
        <w:ind w:left="284" w:hanging="284"/>
        <w:jc w:val="both"/>
        <w:rPr>
          <w:rFonts w:cstheme="minorHAnsi"/>
        </w:rPr>
      </w:pPr>
    </w:p>
    <w:p w14:paraId="3257B6FF" w14:textId="77777777" w:rsidR="005B403A" w:rsidRPr="009D6A07" w:rsidRDefault="005B403A" w:rsidP="005B403A">
      <w:pPr>
        <w:spacing w:after="0"/>
        <w:ind w:left="284" w:hanging="284"/>
        <w:jc w:val="both"/>
        <w:rPr>
          <w:rFonts w:cstheme="minorHAnsi"/>
        </w:rPr>
      </w:pPr>
    </w:p>
    <w:p w14:paraId="6A143584" w14:textId="77777777" w:rsidR="005B403A" w:rsidRPr="009D6A07" w:rsidRDefault="005B403A" w:rsidP="005B403A">
      <w:pPr>
        <w:spacing w:after="0"/>
        <w:jc w:val="both"/>
        <w:rPr>
          <w:rFonts w:cstheme="minorHAnsi"/>
        </w:rPr>
      </w:pPr>
    </w:p>
    <w:tbl>
      <w:tblPr>
        <w:tblW w:w="9570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167"/>
        <w:gridCol w:w="4403"/>
      </w:tblGrid>
      <w:tr w:rsidR="005B403A" w14:paraId="0AA52529" w14:textId="77777777" w:rsidTr="00946EBB">
        <w:trPr>
          <w:trHeight w:val="241"/>
          <w:jc w:val="center"/>
        </w:trPr>
        <w:tc>
          <w:tcPr>
            <w:tcW w:w="5167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45603D6" w14:textId="77777777" w:rsidR="005B403A" w:rsidRDefault="005B403A" w:rsidP="00946EBB">
            <w:pPr>
              <w:suppressAutoHyphens/>
              <w:autoSpaceDN w:val="0"/>
              <w:spacing w:after="0" w:line="240" w:lineRule="auto"/>
              <w:textAlignment w:val="baseline"/>
              <w:rPr>
                <w:rFonts w:eastAsia="Calibri" w:cstheme="minorHAnsi"/>
                <w:color w:val="000000"/>
                <w:kern w:val="3"/>
                <w:lang w:eastAsia="pl-PL"/>
              </w:rPr>
            </w:pPr>
            <w:r>
              <w:rPr>
                <w:rFonts w:eastAsia="Calibri" w:cstheme="minorHAnsi"/>
                <w:color w:val="000000"/>
                <w:kern w:val="3"/>
                <w:lang w:eastAsia="pl-PL"/>
              </w:rPr>
              <w:t>…..………………………………………</w:t>
            </w:r>
          </w:p>
          <w:p w14:paraId="12DDFE63" w14:textId="77777777" w:rsidR="005B403A" w:rsidRDefault="005B403A" w:rsidP="00946EBB">
            <w:pPr>
              <w:suppressAutoHyphens/>
              <w:autoSpaceDN w:val="0"/>
              <w:spacing w:after="0" w:line="240" w:lineRule="auto"/>
              <w:textAlignment w:val="baseline"/>
              <w:rPr>
                <w:rFonts w:eastAsia="Calibri" w:cstheme="minorHAnsi"/>
                <w:color w:val="000000"/>
                <w:kern w:val="3"/>
                <w:lang w:eastAsia="pl-PL"/>
              </w:rPr>
            </w:pPr>
            <w:r>
              <w:rPr>
                <w:rFonts w:eastAsia="Calibri" w:cstheme="minorHAnsi"/>
                <w:i/>
                <w:iCs/>
                <w:color w:val="000000"/>
                <w:kern w:val="3"/>
                <w:sz w:val="20"/>
                <w:szCs w:val="20"/>
                <w:lang w:eastAsia="pl-PL"/>
              </w:rPr>
              <w:t xml:space="preserve">          Miejscowość i data</w:t>
            </w:r>
          </w:p>
        </w:tc>
        <w:tc>
          <w:tcPr>
            <w:tcW w:w="4403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974E70A" w14:textId="25CA8EB3" w:rsidR="005B403A" w:rsidRDefault="005B403A" w:rsidP="00946EBB">
            <w:pPr>
              <w:suppressAutoHyphens/>
              <w:autoSpaceDN w:val="0"/>
              <w:spacing w:after="0" w:line="240" w:lineRule="auto"/>
              <w:textAlignment w:val="baseline"/>
              <w:rPr>
                <w:rFonts w:eastAsia="Calibri" w:cstheme="minorHAnsi"/>
                <w:color w:val="000000"/>
                <w:kern w:val="3"/>
                <w:lang w:eastAsia="pl-PL"/>
              </w:rPr>
            </w:pPr>
            <w:r>
              <w:rPr>
                <w:rFonts w:eastAsia="Calibri" w:cstheme="minorHAnsi"/>
                <w:color w:val="000000"/>
                <w:kern w:val="3"/>
                <w:lang w:eastAsia="pl-PL"/>
              </w:rPr>
              <w:t xml:space="preserve">     </w:t>
            </w:r>
            <w:r w:rsidR="00093069">
              <w:rPr>
                <w:rFonts w:eastAsia="Calibri" w:cstheme="minorHAnsi"/>
                <w:color w:val="000000"/>
                <w:kern w:val="3"/>
                <w:lang w:eastAsia="pl-PL"/>
              </w:rPr>
              <w:t>……..</w:t>
            </w:r>
            <w:r>
              <w:rPr>
                <w:rFonts w:eastAsia="Calibri" w:cstheme="minorHAnsi"/>
                <w:color w:val="000000"/>
                <w:kern w:val="3"/>
                <w:lang w:eastAsia="pl-PL"/>
              </w:rPr>
              <w:t>………………………………………………</w:t>
            </w:r>
          </w:p>
          <w:p w14:paraId="44D06AFC" w14:textId="37747D2A" w:rsidR="005B403A" w:rsidRDefault="005B403A" w:rsidP="00946EBB">
            <w:pPr>
              <w:suppressAutoHyphens/>
              <w:autoSpaceDN w:val="0"/>
              <w:spacing w:after="0" w:line="240" w:lineRule="auto"/>
              <w:textAlignment w:val="baseline"/>
              <w:rPr>
                <w:rFonts w:eastAsia="Calibri" w:cstheme="minorHAnsi"/>
                <w:color w:val="000000"/>
                <w:kern w:val="3"/>
                <w:lang w:eastAsia="pl-PL"/>
              </w:rPr>
            </w:pPr>
            <w:r>
              <w:rPr>
                <w:rFonts w:eastAsia="Calibri" w:cstheme="minorHAnsi"/>
                <w:i/>
                <w:iCs/>
                <w:color w:val="000000"/>
                <w:kern w:val="3"/>
                <w:sz w:val="20"/>
                <w:szCs w:val="20"/>
                <w:lang w:eastAsia="pl-PL"/>
              </w:rPr>
              <w:t xml:space="preserve">     </w:t>
            </w:r>
            <w:r w:rsidR="00093069" w:rsidRPr="00093069">
              <w:rPr>
                <w:rFonts w:eastAsia="Calibri" w:cstheme="minorHAnsi"/>
                <w:i/>
                <w:iCs/>
                <w:color w:val="000000"/>
                <w:kern w:val="3"/>
                <w:sz w:val="20"/>
                <w:szCs w:val="20"/>
                <w:lang w:eastAsia="pl-PL"/>
              </w:rPr>
              <w:t>Czytelny podpis Kandydata/Kandydatki</w:t>
            </w:r>
          </w:p>
        </w:tc>
      </w:tr>
    </w:tbl>
    <w:p w14:paraId="7C8F40AD" w14:textId="77777777" w:rsidR="005B403A" w:rsidRDefault="005B403A" w:rsidP="005B403A">
      <w:pPr>
        <w:tabs>
          <w:tab w:val="left" w:pos="2395"/>
        </w:tabs>
      </w:pPr>
    </w:p>
    <w:p w14:paraId="053658AE" w14:textId="77777777" w:rsidR="00A20792" w:rsidRDefault="00A20792"/>
    <w:sectPr w:rsidR="00A20792">
      <w:headerReference w:type="default" r:id="rId8"/>
      <w:footerReference w:type="default" r:id="rId9"/>
      <w:pgSz w:w="11906" w:h="16838"/>
      <w:pgMar w:top="1417" w:right="1417" w:bottom="1417" w:left="1417" w:header="1077" w:footer="1417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16DF844" w14:textId="77777777" w:rsidR="005072B9" w:rsidRDefault="005072B9">
      <w:pPr>
        <w:spacing w:after="0" w:line="240" w:lineRule="auto"/>
      </w:pPr>
      <w:r>
        <w:separator/>
      </w:r>
    </w:p>
  </w:endnote>
  <w:endnote w:type="continuationSeparator" w:id="0">
    <w:p w14:paraId="77298C1F" w14:textId="77777777" w:rsidR="005072B9" w:rsidRDefault="005072B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D3CD2D" w14:textId="77777777" w:rsidR="00A20792" w:rsidRDefault="00000000">
    <w:pPr>
      <w:pStyle w:val="Stopka"/>
    </w:pPr>
    <w:r>
      <w:rPr>
        <w:i/>
        <w:iCs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63360" behindDoc="0" locked="0" layoutInCell="1" allowOverlap="1" wp14:anchorId="62430761" wp14:editId="407EEE9A">
              <wp:simplePos x="0" y="0"/>
              <wp:positionH relativeFrom="margin">
                <wp:align>center</wp:align>
              </wp:positionH>
              <wp:positionV relativeFrom="paragraph">
                <wp:posOffset>106016</wp:posOffset>
              </wp:positionV>
              <wp:extent cx="6505575" cy="9525"/>
              <wp:effectExtent l="0" t="0" r="28575" b="28575"/>
              <wp:wrapNone/>
              <wp:docPr id="3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 flipV="1">
                        <a:off x="0" y="0"/>
                        <a:ext cx="6505575" cy="9525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hape 2" o:spid="_x0000_s2" style="position:absolute;left:0;text-align:left;z-index:251663360;mso-wrap-distance-left:9.00pt;mso-wrap-distance-top:0.00pt;mso-wrap-distance-right:9.00pt;mso-wrap-distance-bottom:0.00pt;flip:y;visibility:visible;" from="0.0pt,8.3pt" to="512.2pt,9.1pt" filled="f" strokecolor="#000000" strokeweight="0.50pt">
              <v:stroke dashstyle="solid"/>
            </v:line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5200" distR="115200" simplePos="0" relativeHeight="251677696" behindDoc="1" locked="0" layoutInCell="1" allowOverlap="1" wp14:anchorId="60946608" wp14:editId="381B23D0">
              <wp:simplePos x="0" y="0"/>
              <wp:positionH relativeFrom="column">
                <wp:posOffset>0</wp:posOffset>
              </wp:positionH>
              <wp:positionV relativeFrom="paragraph">
                <wp:posOffset>227398</wp:posOffset>
              </wp:positionV>
              <wp:extent cx="920455" cy="614761"/>
              <wp:effectExtent l="0" t="0" r="0" b="0"/>
              <wp:wrapNone/>
              <wp:docPr id="4" name="Obraz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62969242" name="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920454" cy="614761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3" o:spid="_x0000_s3" type="#_x0000_t75" style="position:absolute;z-index:-251677696;o:allowoverlap:true;o:allowincell:true;mso-position-horizontal-relative:text;margin-left:0.00pt;mso-position-horizontal:absolute;mso-position-vertical-relative:text;margin-top:17.91pt;mso-position-vertical:absolute;width:72.48pt;height:48.41pt;mso-wrap-distance-left:9.07pt;mso-wrap-distance-top:0.00pt;mso-wrap-distance-right:9.07pt;mso-wrap-distance-bottom:0.00pt;z-index:1;" stroked="false">
              <v:imagedata r:id="rId2" o:title=""/>
              <o:lock v:ext="edit" rotation="t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9C598BC" w14:textId="77777777" w:rsidR="005072B9" w:rsidRDefault="005072B9">
      <w:pPr>
        <w:spacing w:after="0" w:line="240" w:lineRule="auto"/>
      </w:pPr>
      <w:r>
        <w:separator/>
      </w:r>
    </w:p>
  </w:footnote>
  <w:footnote w:type="continuationSeparator" w:id="0">
    <w:p w14:paraId="77393F70" w14:textId="77777777" w:rsidR="005072B9" w:rsidRDefault="005072B9">
      <w:pPr>
        <w:spacing w:after="0" w:line="240" w:lineRule="auto"/>
      </w:pPr>
      <w:r>
        <w:continuationSeparator/>
      </w:r>
    </w:p>
  </w:footnote>
  <w:footnote w:id="1">
    <w:p w14:paraId="1EB12230" w14:textId="77777777" w:rsidR="005B403A" w:rsidRDefault="005B403A" w:rsidP="005B403A">
      <w:pPr>
        <w:pStyle w:val="Tekstprzypisudolnego"/>
      </w:pPr>
      <w:r>
        <w:rPr>
          <w:rStyle w:val="Odwoanieprzypisudolnego"/>
        </w:rPr>
        <w:footnoteRef/>
      </w:r>
      <w:r>
        <w:t xml:space="preserve"> 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1, z późn. zm.).</w:t>
      </w:r>
    </w:p>
  </w:footnote>
  <w:footnote w:id="2">
    <w:p w14:paraId="0C79504D" w14:textId="77777777" w:rsidR="005B403A" w:rsidRDefault="005B403A" w:rsidP="005B403A">
      <w:pPr>
        <w:pStyle w:val="Tekstprzypisudolnego"/>
      </w:pPr>
      <w:r>
        <w:rPr>
          <w:rStyle w:val="Odwoanieprzypisudolnego"/>
        </w:rPr>
        <w:footnoteRef/>
      </w:r>
      <w:r>
        <w:t xml:space="preserve"> Ustawa z dnia 28 kwietnia 2022 r o zasadach realizacji zadań finansowanych ze środków europejskich w perspektywie finansowej 2021-2027 (Dz.U. poz. 1079), zwana dalej „ustawą wdrożeniową”.</w:t>
      </w:r>
    </w:p>
  </w:footnote>
  <w:footnote w:id="3">
    <w:p w14:paraId="250A4AAE" w14:textId="77777777" w:rsidR="005B403A" w:rsidRDefault="005B403A" w:rsidP="005B403A">
      <w:pPr>
        <w:pStyle w:val="Tekstprzypisudolnego"/>
      </w:pPr>
      <w:r>
        <w:rPr>
          <w:rStyle w:val="Odwoanieprzypisudolnego"/>
        </w:rPr>
        <w:footnoteRef/>
      </w:r>
      <w:r>
        <w:t xml:space="preserve"> Do automatyzacji procesu przetwarzania danych osobowych wystarczy, że dane te są zapisane na dysku komputera.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7187D24" w14:textId="77777777" w:rsidR="00A20792" w:rsidRDefault="00000000">
    <w:pPr>
      <w:pStyle w:val="Nagwek"/>
      <w:rPr>
        <w:i/>
        <w:iCs/>
        <w:sz w:val="16"/>
        <w:szCs w:val="16"/>
      </w:rPr>
    </w:pPr>
    <w:r>
      <w:rPr>
        <w:i/>
        <w:iCs/>
        <w:noProof/>
        <w:sz w:val="16"/>
        <w:szCs w:val="16"/>
      </w:rPr>
      <mc:AlternateContent>
        <mc:Choice Requires="wpg">
          <w:drawing>
            <wp:anchor distT="0" distB="0" distL="114300" distR="114300" simplePos="0" relativeHeight="251664384" behindDoc="0" locked="0" layoutInCell="1" allowOverlap="1" wp14:anchorId="5F8BA5C0" wp14:editId="0B6296D0">
              <wp:simplePos x="0" y="0"/>
              <wp:positionH relativeFrom="margin">
                <wp:align>center</wp:align>
              </wp:positionH>
              <wp:positionV relativeFrom="paragraph">
                <wp:posOffset>-499745</wp:posOffset>
              </wp:positionV>
              <wp:extent cx="5483352" cy="609600"/>
              <wp:effectExtent l="0" t="0" r="3175" b="0"/>
              <wp:wrapThrough wrapText="bothSides">
                <wp:wrapPolygon edited="1">
                  <wp:start x="0" y="0"/>
                  <wp:lineTo x="0" y="20925"/>
                  <wp:lineTo x="21537" y="20925"/>
                  <wp:lineTo x="21537" y="0"/>
                  <wp:lineTo x="0" y="0"/>
                </wp:wrapPolygon>
              </wp:wrapThrough>
              <wp:docPr id="1" name="Obraz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189605923" name="Obraz 1189605923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5483352" cy="6096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0" o:spid="_x0000_s0" type="#_x0000_t75" style="position:absolute;z-index:251664384;o:allowoverlap:true;o:allowincell:true;mso-position-horizontal-relative:margin;mso-position-horizontal:center;mso-position-vertical-relative:text;margin-top:-39.35pt;mso-position-vertical:absolute;width:431.76pt;height:48.00pt;mso-wrap-distance-left:9.00pt;mso-wrap-distance-top:0.00pt;mso-wrap-distance-right:9.00pt;mso-wrap-distance-bottom:0.00pt;z-index:1;" wrapcoords="0 0 0 96875 99708 96875 99708 0 0 0" stroked="false">
              <w10:wrap type="through"/>
              <v:imagedata r:id="rId2" o:title=""/>
              <o:lock v:ext="edit" rotation="t"/>
            </v:shape>
          </w:pict>
        </mc:Fallback>
      </mc:AlternateContent>
    </w:r>
  </w:p>
  <w:p w14:paraId="41859868" w14:textId="77777777" w:rsidR="00A20792" w:rsidRDefault="00000000">
    <w:pPr>
      <w:pStyle w:val="Nagwek"/>
      <w:jc w:val="center"/>
      <w:rPr>
        <w:i/>
        <w:iCs/>
        <w:sz w:val="14"/>
        <w:szCs w:val="14"/>
      </w:rPr>
    </w:pPr>
    <w:r>
      <w:rPr>
        <w:i/>
        <w:iCs/>
        <w:sz w:val="14"/>
        <w:szCs w:val="14"/>
      </w:rPr>
      <w:t xml:space="preserve">Projekt: „Z nauką przez życie” nr FEMA.07.05-IP.01-03WF/24 </w:t>
    </w:r>
  </w:p>
  <w:p w14:paraId="3D34AED0" w14:textId="77777777" w:rsidR="00A20792" w:rsidRDefault="00000000">
    <w:pPr>
      <w:pStyle w:val="Nagwek"/>
      <w:jc w:val="center"/>
      <w:rPr>
        <w:i/>
        <w:iCs/>
        <w:sz w:val="14"/>
        <w:szCs w:val="14"/>
      </w:rPr>
    </w:pPr>
    <w:r>
      <w:rPr>
        <w:i/>
        <w:iCs/>
        <w:sz w:val="14"/>
        <w:szCs w:val="14"/>
      </w:rPr>
      <w:t>współfinansowany ze środków Europejskiego Funduszu Społecznego Plus w ramach programu: Fundusze Europejskie dla Mazowsza 2021-2027</w:t>
    </w:r>
  </w:p>
  <w:p w14:paraId="29234405" w14:textId="77777777" w:rsidR="00A20792" w:rsidRDefault="00000000">
    <w:pPr>
      <w:pStyle w:val="Nagwek"/>
      <w:jc w:val="center"/>
      <w:rPr>
        <w:i/>
        <w:iCs/>
        <w:sz w:val="20"/>
        <w:szCs w:val="20"/>
      </w:rPr>
    </w:pPr>
    <w:r>
      <w:rPr>
        <w:i/>
        <w:iCs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604057CB" wp14:editId="1F74E35C">
              <wp:simplePos x="0" y="0"/>
              <wp:positionH relativeFrom="column">
                <wp:posOffset>-366395</wp:posOffset>
              </wp:positionH>
              <wp:positionV relativeFrom="paragraph">
                <wp:posOffset>62132</wp:posOffset>
              </wp:positionV>
              <wp:extent cx="6505575" cy="9525"/>
              <wp:effectExtent l="0" t="0" r="28575" b="28575"/>
              <wp:wrapNone/>
              <wp:docPr id="2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 flipV="1">
                        <a:off x="0" y="0"/>
                        <a:ext cx="6505575" cy="9525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hape 1" o:spid="_x0000_s1" style="position:absolute;left:0;text-align:left;z-index:251659264;mso-wrap-distance-left:9.00pt;mso-wrap-distance-top:0.00pt;mso-wrap-distance-right:9.00pt;mso-wrap-distance-bottom:0.00pt;flip:y;visibility:visible;" from="-28.8pt,4.9pt" to="483.4pt,5.6pt" filled="f" strokecolor="#000000" strokeweight="0.50pt">
              <v:stroke dashstyle="solid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CA7F63"/>
    <w:multiLevelType w:val="hybridMultilevel"/>
    <w:tmpl w:val="347E2A9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3D22224"/>
    <w:multiLevelType w:val="hybridMultilevel"/>
    <w:tmpl w:val="2006FE8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3FF0B76"/>
    <w:multiLevelType w:val="hybridMultilevel"/>
    <w:tmpl w:val="A14417E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FE4448B"/>
    <w:multiLevelType w:val="hybridMultilevel"/>
    <w:tmpl w:val="7A46666E"/>
    <w:lvl w:ilvl="0" w:tplc="C5606B5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50226DF0"/>
    <w:multiLevelType w:val="hybridMultilevel"/>
    <w:tmpl w:val="5700336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38455742">
    <w:abstractNumId w:val="0"/>
  </w:num>
  <w:num w:numId="2" w16cid:durableId="1398212433">
    <w:abstractNumId w:val="3"/>
  </w:num>
  <w:num w:numId="3" w16cid:durableId="1333069842">
    <w:abstractNumId w:val="2"/>
  </w:num>
  <w:num w:numId="4" w16cid:durableId="286932633">
    <w:abstractNumId w:val="4"/>
  </w:num>
  <w:num w:numId="5" w16cid:durableId="30088891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20792"/>
    <w:rsid w:val="00084124"/>
    <w:rsid w:val="00093069"/>
    <w:rsid w:val="000D5A18"/>
    <w:rsid w:val="00353C79"/>
    <w:rsid w:val="005072B9"/>
    <w:rsid w:val="0056217D"/>
    <w:rsid w:val="005B403A"/>
    <w:rsid w:val="00A20792"/>
    <w:rsid w:val="00EA1925"/>
    <w:rsid w:val="00ED5390"/>
    <w:rsid w:val="00F062BD"/>
    <w:rsid w:val="00F1464C"/>
    <w:rsid w:val="00F644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A49C9C"/>
  <w15:docId w15:val="{8912CCE2-AE74-4FB6-BA40-D0CCDD543C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pPr>
      <w:keepNext/>
      <w:keepLines/>
      <w:spacing w:before="360" w:after="80"/>
      <w:outlineLvl w:val="0"/>
    </w:pPr>
    <w:rPr>
      <w:rFonts w:ascii="Arial" w:eastAsia="Arial" w:hAnsi="Arial" w:cs="Arial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pPr>
      <w:keepNext/>
      <w:keepLines/>
      <w:spacing w:before="160" w:after="80"/>
      <w:outlineLvl w:val="1"/>
    </w:pPr>
    <w:rPr>
      <w:rFonts w:ascii="Arial" w:eastAsia="Arial" w:hAnsi="Arial" w:cs="Arial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pPr>
      <w:keepNext/>
      <w:keepLines/>
      <w:spacing w:before="160" w:after="80"/>
      <w:outlineLvl w:val="2"/>
    </w:pPr>
    <w:rPr>
      <w:rFonts w:ascii="Arial" w:eastAsia="Arial" w:hAnsi="Arial" w:cs="Arial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pPr>
      <w:keepNext/>
      <w:keepLines/>
      <w:spacing w:before="80" w:after="40"/>
      <w:outlineLvl w:val="3"/>
    </w:pPr>
    <w:rPr>
      <w:rFonts w:ascii="Arial" w:eastAsia="Arial" w:hAnsi="Arial" w:cs="Arial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pPr>
      <w:keepNext/>
      <w:keepLines/>
      <w:spacing w:before="80" w:after="40"/>
      <w:outlineLvl w:val="4"/>
    </w:pPr>
    <w:rPr>
      <w:rFonts w:ascii="Arial" w:eastAsia="Arial" w:hAnsi="Arial" w:cs="Arial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pPr>
      <w:keepNext/>
      <w:keepLines/>
      <w:spacing w:before="40" w:after="0"/>
      <w:outlineLvl w:val="5"/>
    </w:pPr>
    <w:rPr>
      <w:rFonts w:ascii="Arial" w:eastAsia="Arial" w:hAnsi="Arial" w:cs="Arial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unhideWhenUsed/>
    <w:qFormat/>
    <w:pPr>
      <w:keepNext/>
      <w:keepLines/>
      <w:spacing w:before="40" w:after="0"/>
      <w:outlineLvl w:val="6"/>
    </w:pPr>
    <w:rPr>
      <w:rFonts w:ascii="Arial" w:eastAsia="Arial" w:hAnsi="Arial" w:cs="Arial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unhideWhenUsed/>
    <w:qFormat/>
    <w:pPr>
      <w:keepNext/>
      <w:keepLines/>
      <w:spacing w:after="0"/>
      <w:outlineLvl w:val="7"/>
    </w:pPr>
    <w:rPr>
      <w:rFonts w:ascii="Arial" w:eastAsia="Arial" w:hAnsi="Arial" w:cs="Arial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unhideWhenUsed/>
    <w:qFormat/>
    <w:pPr>
      <w:keepNext/>
      <w:keepLines/>
      <w:spacing w:after="0"/>
      <w:outlineLvl w:val="8"/>
    </w:pPr>
    <w:rPr>
      <w:rFonts w:ascii="Arial" w:eastAsia="Arial" w:hAnsi="Arial" w:cs="Arial"/>
      <w:i/>
      <w:iCs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Standardowy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Zwykatabela1">
    <w:name w:val="Plain Table 1"/>
    <w:basedOn w:val="Standardowy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Zwykatabela2">
    <w:name w:val="Plain Table 2"/>
    <w:basedOn w:val="Standardowy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Zwykatabela3">
    <w:name w:val="Plain Table 3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Zwykatabela4">
    <w:name w:val="Plain Table 4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Zwykatabela5">
    <w:name w:val="Plain Table 5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elasiatki1jasna">
    <w:name w:val="Grid Table 1 Light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GridTable1Light-Accent2">
    <w:name w:val="Grid Table 1 Light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GridTable1Light-Accent6">
    <w:name w:val="Grid Table 1 Light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Tabelasiatki2">
    <w:name w:val="Grid Table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37DC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2-Accent2">
    <w:name w:val="Grid Table 2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B9BD5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2-Accent6">
    <w:name w:val="Grid Table 2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3">
    <w:name w:val="Grid Table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3-Accent2">
    <w:name w:val="Grid Table 3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3-Accent6">
    <w:name w:val="Grid Table 3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4">
    <w:name w:val="Grid Table 4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  <w:insideV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37DC8" w:themeColor="accent1" w:themeTint="EA"/>
          <w:left w:val="single" w:sz="4" w:space="0" w:color="537DC8" w:themeColor="accent1" w:themeTint="EA"/>
          <w:bottom w:val="single" w:sz="4" w:space="0" w:color="537DC8" w:themeColor="accent1" w:themeTint="EA"/>
          <w:right w:val="single" w:sz="4" w:space="0" w:color="537DC8" w:themeColor="accent1" w:themeTint="EA"/>
        </w:tcBorders>
        <w:shd w:val="clear" w:color="537DC8" w:themeColor="accent1" w:themeTint="EA" w:fill="537DC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</w:style>
  <w:style w:type="table" w:customStyle="1" w:styleId="GridTable4-Accent2">
    <w:name w:val="Grid Table 4 - Accent 2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  <w:shd w:val="clear" w:color="5B9BD5" w:themeColor="accent5" w:fill="5B9BD5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4-Accent6">
    <w:name w:val="Grid Table 4 - Accent 6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5ciemna">
    <w:name w:val="Grid Table 5 Dark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1" w:themeTint="34" w:fill="D8E2F3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1" w:fill="4472C4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band1Vert">
      <w:tblPr/>
      <w:tcPr>
        <w:shd w:val="clear" w:color="A9BEE4" w:themeColor="accent1" w:themeTint="75" w:fill="A9BEE4" w:themeFill="accent1" w:themeFillTint="75"/>
      </w:tcPr>
    </w:tblStylePr>
    <w:tblStylePr w:type="band1Horz">
      <w:tblPr/>
      <w:tcPr>
        <w:shd w:val="clear" w:color="A9BEE4" w:themeColor="accent1" w:themeTint="75" w:fill="A9BEE4" w:themeFill="accent1" w:themeFillTint="75"/>
      </w:tcPr>
    </w:tblStylePr>
  </w:style>
  <w:style w:type="table" w:customStyle="1" w:styleId="GridTable5Dark-Accent2">
    <w:name w:val="Grid Table 5 Dark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5" w:themeTint="34" w:fill="DDEAF6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5" w:fill="5B9BD5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band1Vert">
      <w:tblPr/>
      <w:tcPr>
        <w:shd w:val="clear" w:color="B3D0EB" w:themeColor="accent5" w:themeTint="75" w:fill="B3D0EB" w:themeFill="accent5" w:themeFillTint="75"/>
      </w:tcPr>
    </w:tblStylePr>
    <w:tblStylePr w:type="band1Horz">
      <w:tblPr/>
      <w:tcPr>
        <w:shd w:val="clear" w:color="B3D0EB" w:themeColor="accent5" w:themeTint="75" w:fill="B3D0EB" w:themeFill="accent5" w:themeFillTint="75"/>
      </w:tcPr>
    </w:tblStylePr>
  </w:style>
  <w:style w:type="table" w:customStyle="1" w:styleId="GridTable5Dark-Accent6">
    <w:name w:val="Grid Table 5 Dark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Tabelasiatki6kolorowa">
    <w:name w:val="Grid Table 6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0B7E1" w:themeColor="accent1" w:themeTint="80"/>
        <w:left w:val="single" w:sz="4" w:space="0" w:color="A0B7E1" w:themeColor="accent1" w:themeTint="80"/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b/>
        <w:color w:val="A0B7E1" w:themeColor="accent1" w:themeTint="80" w:themeShade="95"/>
      </w:rPr>
      <w:tblPr/>
      <w:tcPr>
        <w:tcBorders>
          <w:bottom w:val="single" w:sz="12" w:space="0" w:color="A0B7E1" w:themeColor="accent1" w:themeTint="80"/>
        </w:tcBorders>
      </w:tcPr>
    </w:tblStylePr>
    <w:tblStylePr w:type="lastRow">
      <w:rPr>
        <w:b/>
        <w:color w:val="A0B7E1" w:themeColor="accent1" w:themeTint="80" w:themeShade="95"/>
      </w:rPr>
    </w:tblStylePr>
    <w:tblStylePr w:type="firstCol">
      <w:rPr>
        <w:b/>
        <w:color w:val="A0B7E1" w:themeColor="accent1" w:themeTint="80" w:themeShade="95"/>
      </w:rPr>
    </w:tblStylePr>
    <w:tblStylePr w:type="lastCol">
      <w:rPr>
        <w:b/>
        <w:color w:val="A0B7E1" w:themeColor="accent1" w:themeTint="80" w:themeShade="95"/>
      </w:r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styleId="Tabelasiatki7kolorowa">
    <w:name w:val="Grid Table 7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0B7E1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single" w:sz="4" w:space="0" w:color="A0B7E1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0B7E1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0B7E1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A5A5A5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2C6E7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single" w:sz="4" w:space="0" w:color="A2C6E7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single" w:sz="4" w:space="0" w:color="ADD394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Tabelalisty1jasna">
    <w:name w:val="List Table 1 Light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1Light-Accent2">
    <w:name w:val="List Table 1 Light - Accent 2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1Light-Accent6">
    <w:name w:val="List Table 1 Light - Accent 6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Tabelalisty2">
    <w:name w:val="List Table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bottom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2-Accent2">
    <w:name w:val="List Table 2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bottom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2-Accent6">
    <w:name w:val="List Table 2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elalisty3">
    <w:name w:val="List Table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472C4" w:themeColor="accent1"/>
          <w:bottom w:val="single" w:sz="4" w:space="0" w:color="4472C4" w:themeColor="accent1"/>
        </w:tcBorders>
      </w:tcPr>
    </w:tblStylePr>
  </w:style>
  <w:style w:type="table" w:customStyle="1" w:styleId="ListTable3-Accent2">
    <w:name w:val="List Table 3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left w:val="single" w:sz="4" w:space="0" w:color="9BC2E5" w:themeColor="accent5" w:themeTint="9A"/>
        <w:bottom w:val="single" w:sz="4" w:space="0" w:color="9BC2E5" w:themeColor="accent5" w:themeTint="9A"/>
        <w:right w:val="single" w:sz="4" w:space="0" w:color="9BC2E5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C2E5" w:themeColor="accent5" w:themeTint="9A" w:fill="9BC2E5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BC2E5" w:themeColor="accent5" w:themeTint="9A"/>
          <w:right w:val="single" w:sz="4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BC2E5" w:themeColor="accent5" w:themeTint="9A"/>
          <w:bottom w:val="single" w:sz="4" w:space="0" w:color="9BC2E5" w:themeColor="accent5" w:themeTint="9A"/>
        </w:tcBorders>
      </w:tcPr>
    </w:tblStylePr>
  </w:style>
  <w:style w:type="table" w:customStyle="1" w:styleId="ListTable3-Accent6">
    <w:name w:val="List Table 3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Tabelalisty4">
    <w:name w:val="List Table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4-Accent2">
    <w:name w:val="List Table 4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4-Accent6">
    <w:name w:val="List Table 4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elalisty5ciemna">
    <w:name w:val="List Table 5 Dark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472C4" w:themeColor="accent1"/>
        <w:left w:val="single" w:sz="32" w:space="0" w:color="4472C4" w:themeColor="accent1"/>
        <w:bottom w:val="single" w:sz="32" w:space="0" w:color="4472C4" w:themeColor="accent1"/>
        <w:right w:val="single" w:sz="32" w:space="0" w:color="4472C4" w:themeColor="accent1"/>
      </w:tblBorders>
      <w:shd w:val="clear" w:color="4472C4" w:themeColor="accent1" w:fill="4472C4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472C4" w:themeColor="accent1"/>
          <w:bottom w:val="single" w:sz="12" w:space="0" w:color="FFFFFF" w:themeColor="light1"/>
        </w:tcBorders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472C4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472C4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472C4" w:themeColor="accent1" w:fill="4472C4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</w:style>
  <w:style w:type="table" w:customStyle="1" w:styleId="ListTable5Dark-Accent2">
    <w:name w:val="List Table 5 Dark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BC2E5" w:themeColor="accent5" w:themeTint="9A"/>
        <w:left w:val="single" w:sz="32" w:space="0" w:color="9BC2E5" w:themeColor="accent5" w:themeTint="9A"/>
        <w:bottom w:val="single" w:sz="32" w:space="0" w:color="9BC2E5" w:themeColor="accent5" w:themeTint="9A"/>
        <w:right w:val="single" w:sz="32" w:space="0" w:color="9BC2E5" w:themeColor="accent5" w:themeTint="9A"/>
      </w:tblBorders>
      <w:shd w:val="clear" w:color="9BC2E5" w:themeColor="accent5" w:themeTint="9A" w:fill="9BC2E5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BC2E5" w:themeColor="accent5" w:themeTint="9A"/>
          <w:bottom w:val="single" w:sz="12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BC2E5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C2E5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</w:style>
  <w:style w:type="table" w:customStyle="1" w:styleId="ListTable5Dark-Accent6">
    <w:name w:val="List Table 5 Dark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Tabelalisty6kolorowa">
    <w:name w:val="List Table 6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bottom w:val="single" w:sz="4" w:space="0" w:color="4472C4" w:themeColor="accent1"/>
      </w:tblBorders>
    </w:tblPr>
    <w:tblStylePr w:type="firstRow">
      <w:rPr>
        <w:b/>
        <w:color w:val="254175" w:themeColor="accent1" w:themeShade="95"/>
      </w:rPr>
      <w:tblPr/>
      <w:tcPr>
        <w:tcBorders>
          <w:bottom w:val="single" w:sz="4" w:space="0" w:color="4472C4" w:themeColor="accent1"/>
        </w:tcBorders>
      </w:tcPr>
    </w:tblStylePr>
    <w:tblStylePr w:type="lastRow">
      <w:rPr>
        <w:b/>
        <w:color w:val="254175" w:themeColor="accent1" w:themeShade="95"/>
      </w:rPr>
      <w:tblPr/>
      <w:tcPr>
        <w:tcBorders>
          <w:top w:val="single" w:sz="4" w:space="0" w:color="4472C4" w:themeColor="accent1"/>
        </w:tcBorders>
      </w:tcPr>
    </w:tblStylePr>
    <w:tblStylePr w:type="firstCol">
      <w:rPr>
        <w:b/>
        <w:color w:val="254175" w:themeColor="accent1" w:themeShade="95"/>
      </w:rPr>
    </w:tblStylePr>
    <w:tblStylePr w:type="lastCol">
      <w:rPr>
        <w:b/>
        <w:color w:val="254175" w:themeColor="accent1" w:themeShade="95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bottom w:val="single" w:sz="4" w:space="0" w:color="9BC2E5" w:themeColor="accent5" w:themeTint="9A"/>
      </w:tblBorders>
    </w:tblPr>
    <w:tblStylePr w:type="firstRow">
      <w:rPr>
        <w:b/>
        <w:color w:val="9BC2E5" w:themeColor="accent5" w:themeTint="9A" w:themeShade="95"/>
      </w:rPr>
      <w:tblPr/>
      <w:tcPr>
        <w:tcBorders>
          <w:bottom w:val="single" w:sz="4" w:space="0" w:color="9BC2E5" w:themeColor="accent5" w:themeTint="9A"/>
        </w:tcBorders>
      </w:tcPr>
    </w:tblStylePr>
    <w:tblStylePr w:type="lastRow">
      <w:rPr>
        <w:b/>
        <w:color w:val="9BC2E5" w:themeColor="accent5" w:themeTint="9A" w:themeShade="95"/>
      </w:rPr>
      <w:tblPr/>
      <w:tcPr>
        <w:tcBorders>
          <w:top w:val="single" w:sz="4" w:space="0" w:color="9BC2E5" w:themeColor="accent5" w:themeTint="9A"/>
        </w:tcBorders>
      </w:tcPr>
    </w:tblStylePr>
    <w:tblStylePr w:type="firstCol">
      <w:rPr>
        <w:b/>
        <w:color w:val="9BC2E5" w:themeColor="accent5" w:themeTint="9A" w:themeShade="95"/>
      </w:rPr>
    </w:tblStylePr>
    <w:tblStylePr w:type="lastCol">
      <w:rPr>
        <w:b/>
        <w:color w:val="9BC2E5" w:themeColor="accent5" w:themeTint="9A" w:themeShade="95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Tabelalisty7kolorowa">
    <w:name w:val="List Table 7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472C4" w:themeColor="accent1"/>
      </w:tblBorders>
    </w:tblPr>
    <w:tblStylePr w:type="fir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472C4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single" w:sz="4" w:space="0" w:color="4472C4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9C9C9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9C9C9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BC2E5" w:themeColor="accent5" w:themeTint="9A"/>
      </w:tblBorders>
    </w:tblPr>
    <w:tblStylePr w:type="fir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C2E5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single" w:sz="4" w:space="0" w:color="9BC2E5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BC2E5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BC2E5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9D08E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A9D08E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Lined-Accent2">
    <w:name w:val="Lined - Accent 2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Lined-Accent6">
    <w:name w:val="Lined - Accent 6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254175" w:themeColor="accent1" w:themeShade="95"/>
        <w:left w:val="single" w:sz="4" w:space="0" w:color="254175" w:themeColor="accent1" w:themeShade="95"/>
        <w:bottom w:val="single" w:sz="4" w:space="0" w:color="254175" w:themeColor="accent1" w:themeShade="95"/>
        <w:right w:val="single" w:sz="4" w:space="0" w:color="254175" w:themeColor="accent1" w:themeShade="95"/>
        <w:insideH w:val="single" w:sz="4" w:space="0" w:color="254175" w:themeColor="accent1" w:themeShade="95"/>
        <w:insideV w:val="single" w:sz="4" w:space="0" w:color="254175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BorderedLined-Accent2">
    <w:name w:val="Bordered &amp; Lined - Accent 2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245A8D" w:themeColor="accent5" w:themeShade="95"/>
        <w:left w:val="single" w:sz="4" w:space="0" w:color="245A8D" w:themeColor="accent5" w:themeShade="95"/>
        <w:bottom w:val="single" w:sz="4" w:space="0" w:color="245A8D" w:themeColor="accent5" w:themeShade="95"/>
        <w:right w:val="single" w:sz="4" w:space="0" w:color="245A8D" w:themeColor="accent5" w:themeShade="95"/>
        <w:insideH w:val="single" w:sz="4" w:space="0" w:color="245A8D" w:themeColor="accent5" w:themeShade="95"/>
        <w:insideV w:val="single" w:sz="4" w:space="0" w:color="245A8D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BorderedLined-Accent6">
    <w:name w:val="Bordered &amp; Lined - Accent 6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472C4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Bordered-Accent2">
    <w:name w:val="Bordered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BC2E5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BC2E5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Bordered-Accent6">
    <w:name w:val="Bordered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customStyle="1" w:styleId="Nagwek1Znak">
    <w:name w:val="Nagłówek 1 Znak"/>
    <w:basedOn w:val="Domylnaczcionkaakapitu"/>
    <w:link w:val="Nagwek1"/>
    <w:uiPriority w:val="9"/>
    <w:rPr>
      <w:rFonts w:ascii="Arial" w:eastAsia="Arial" w:hAnsi="Arial" w:cs="Arial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rPr>
      <w:rFonts w:ascii="Arial" w:eastAsia="Arial" w:hAnsi="Arial" w:cs="Arial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rPr>
      <w:rFonts w:ascii="Arial" w:eastAsia="Arial" w:hAnsi="Arial" w:cs="Arial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rPr>
      <w:rFonts w:ascii="Arial" w:eastAsia="Arial" w:hAnsi="Arial" w:cs="Arial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rPr>
      <w:rFonts w:ascii="Arial" w:eastAsia="Arial" w:hAnsi="Arial" w:cs="Arial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rPr>
      <w:rFonts w:ascii="Arial" w:eastAsia="Arial" w:hAnsi="Arial" w:cs="Arial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rPr>
      <w:rFonts w:ascii="Arial" w:eastAsia="Arial" w:hAnsi="Arial" w:cs="Arial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rPr>
      <w:rFonts w:ascii="Arial" w:eastAsia="Arial" w:hAnsi="Arial" w:cs="Arial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rPr>
      <w:rFonts w:ascii="Arial" w:eastAsia="Arial" w:hAnsi="Arial" w:cs="Arial"/>
      <w:i/>
      <w:iCs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pPr>
      <w:spacing w:after="80" w:line="240" w:lineRule="auto"/>
      <w:contextualSpacing/>
    </w:pPr>
    <w:rPr>
      <w:rFonts w:ascii="Arial" w:eastAsia="Arial" w:hAnsi="Arial" w:cs="Arial"/>
      <w:spacing w:val="-10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Pr>
      <w:rFonts w:ascii="Arial" w:eastAsia="Arial" w:hAnsi="Arial" w:cs="Arial"/>
      <w:spacing w:val="-10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pPr>
      <w:numPr>
        <w:ilvl w:val="1"/>
      </w:numPr>
    </w:pPr>
    <w:rPr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Pr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Pr>
      <w:i/>
      <w:iCs/>
      <w:color w:val="404040" w:themeColor="text1" w:themeTint="BF"/>
    </w:rPr>
  </w:style>
  <w:style w:type="paragraph" w:styleId="Akapitzlist">
    <w:name w:val="List Paragraph"/>
    <w:aliases w:val="Paragraf"/>
    <w:basedOn w:val="Normalny"/>
    <w:link w:val="AkapitzlistZnak"/>
    <w:qFormat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Pr>
      <w:b/>
      <w:bCs/>
      <w:smallCaps/>
      <w:color w:val="2F5496" w:themeColor="accent1" w:themeShade="BF"/>
      <w:spacing w:val="5"/>
    </w:rPr>
  </w:style>
  <w:style w:type="paragraph" w:styleId="Bezodstpw">
    <w:name w:val="No Spacing"/>
    <w:basedOn w:val="Normalny"/>
    <w:uiPriority w:val="1"/>
    <w:qFormat/>
    <w:pPr>
      <w:spacing w:after="0" w:line="240" w:lineRule="auto"/>
    </w:pPr>
  </w:style>
  <w:style w:type="character" w:styleId="Wyrnieniedelikatne">
    <w:name w:val="Subtle Emphasis"/>
    <w:basedOn w:val="Domylnaczcionkaakapitu"/>
    <w:uiPriority w:val="19"/>
    <w:qFormat/>
    <w:rPr>
      <w:i/>
      <w:iCs/>
      <w:color w:val="404040" w:themeColor="text1" w:themeTint="BF"/>
    </w:rPr>
  </w:style>
  <w:style w:type="character" w:styleId="Uwydatnienie">
    <w:name w:val="Emphasis"/>
    <w:basedOn w:val="Domylnaczcionkaakapitu"/>
    <w:uiPriority w:val="20"/>
    <w:qFormat/>
    <w:rPr>
      <w:i/>
      <w:iCs/>
    </w:rPr>
  </w:style>
  <w:style w:type="character" w:styleId="Pogrubienie">
    <w:name w:val="Strong"/>
    <w:basedOn w:val="Domylnaczcionkaakapitu"/>
    <w:uiPriority w:val="22"/>
    <w:qFormat/>
    <w:rPr>
      <w:b/>
      <w:bCs/>
    </w:rPr>
  </w:style>
  <w:style w:type="character" w:styleId="Odwoaniedelikatne">
    <w:name w:val="Subtle Reference"/>
    <w:basedOn w:val="Domylnaczcionkaakapitu"/>
    <w:uiPriority w:val="31"/>
    <w:qFormat/>
    <w:rPr>
      <w:smallCaps/>
      <w:color w:val="5A5A5A" w:themeColor="text1" w:themeTint="A5"/>
    </w:rPr>
  </w:style>
  <w:style w:type="character" w:styleId="Tytuksiki">
    <w:name w:val="Book Title"/>
    <w:basedOn w:val="Domylnaczcionkaakapitu"/>
    <w:uiPriority w:val="33"/>
    <w:qFormat/>
    <w:rPr>
      <w:b/>
      <w:bCs/>
      <w:i/>
      <w:iCs/>
      <w:spacing w:val="5"/>
    </w:rPr>
  </w:style>
  <w:style w:type="character" w:customStyle="1" w:styleId="HeaderChar">
    <w:name w:val="Header Char"/>
    <w:basedOn w:val="Domylnaczcionkaakapitu"/>
    <w:uiPriority w:val="99"/>
  </w:style>
  <w:style w:type="character" w:customStyle="1" w:styleId="FooterChar">
    <w:name w:val="Footer Char"/>
    <w:basedOn w:val="Domylnaczcionkaakapitu"/>
    <w:uiPriority w:val="99"/>
  </w:style>
  <w:style w:type="paragraph" w:styleId="Legenda">
    <w:name w:val="caption"/>
    <w:basedOn w:val="Normalny"/>
    <w:next w:val="Normalny"/>
    <w:uiPriority w:val="35"/>
    <w:unhideWhenUsed/>
    <w:qFormat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Pr>
      <w:vertAlign w:val="superscript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Pr>
      <w:vertAlign w:val="superscript"/>
    </w:rPr>
  </w:style>
  <w:style w:type="character" w:styleId="Hipercze">
    <w:name w:val="Hyperlink"/>
    <w:basedOn w:val="Domylnaczcionkaakapitu"/>
    <w:uiPriority w:val="99"/>
    <w:unhideWhenUsed/>
    <w:rPr>
      <w:color w:val="0563C1" w:themeColor="hyperlink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Pr>
      <w:color w:val="954F72" w:themeColor="followedHyperlink"/>
      <w:u w:val="single"/>
    </w:rPr>
  </w:style>
  <w:style w:type="paragraph" w:styleId="Spistreci1">
    <w:name w:val="toc 1"/>
    <w:basedOn w:val="Normalny"/>
    <w:next w:val="Normalny"/>
    <w:uiPriority w:val="39"/>
    <w:unhideWhenUsed/>
    <w:pPr>
      <w:spacing w:after="100"/>
    </w:pPr>
  </w:style>
  <w:style w:type="paragraph" w:styleId="Spistreci2">
    <w:name w:val="toc 2"/>
    <w:basedOn w:val="Normalny"/>
    <w:next w:val="Normalny"/>
    <w:uiPriority w:val="39"/>
    <w:unhideWhenUsed/>
    <w:pPr>
      <w:spacing w:after="100"/>
      <w:ind w:left="220"/>
    </w:pPr>
  </w:style>
  <w:style w:type="paragraph" w:styleId="Spistreci3">
    <w:name w:val="toc 3"/>
    <w:basedOn w:val="Normalny"/>
    <w:next w:val="Normalny"/>
    <w:uiPriority w:val="39"/>
    <w:unhideWhenUsed/>
    <w:pPr>
      <w:spacing w:after="100"/>
      <w:ind w:left="440"/>
    </w:pPr>
  </w:style>
  <w:style w:type="paragraph" w:styleId="Spistreci4">
    <w:name w:val="toc 4"/>
    <w:basedOn w:val="Normalny"/>
    <w:next w:val="Normalny"/>
    <w:uiPriority w:val="39"/>
    <w:unhideWhenUsed/>
    <w:pPr>
      <w:spacing w:after="100"/>
      <w:ind w:left="660"/>
    </w:pPr>
  </w:style>
  <w:style w:type="paragraph" w:styleId="Spistreci5">
    <w:name w:val="toc 5"/>
    <w:basedOn w:val="Normalny"/>
    <w:next w:val="Normalny"/>
    <w:uiPriority w:val="39"/>
    <w:unhideWhenUsed/>
    <w:pPr>
      <w:spacing w:after="100"/>
      <w:ind w:left="880"/>
    </w:pPr>
  </w:style>
  <w:style w:type="paragraph" w:styleId="Spistreci6">
    <w:name w:val="toc 6"/>
    <w:basedOn w:val="Normalny"/>
    <w:next w:val="Normalny"/>
    <w:uiPriority w:val="39"/>
    <w:unhideWhenUsed/>
    <w:pPr>
      <w:spacing w:after="100"/>
      <w:ind w:left="1100"/>
    </w:pPr>
  </w:style>
  <w:style w:type="paragraph" w:styleId="Spistreci7">
    <w:name w:val="toc 7"/>
    <w:basedOn w:val="Normalny"/>
    <w:next w:val="Normalny"/>
    <w:uiPriority w:val="39"/>
    <w:unhideWhenUsed/>
    <w:pPr>
      <w:spacing w:after="100"/>
      <w:ind w:left="1320"/>
    </w:pPr>
  </w:style>
  <w:style w:type="paragraph" w:styleId="Spistreci8">
    <w:name w:val="toc 8"/>
    <w:basedOn w:val="Normalny"/>
    <w:next w:val="Normalny"/>
    <w:uiPriority w:val="39"/>
    <w:unhideWhenUsed/>
    <w:pPr>
      <w:spacing w:after="100"/>
      <w:ind w:left="1540"/>
    </w:pPr>
  </w:style>
  <w:style w:type="paragraph" w:styleId="Spistreci9">
    <w:name w:val="toc 9"/>
    <w:basedOn w:val="Normalny"/>
    <w:next w:val="Normalny"/>
    <w:uiPriority w:val="39"/>
    <w:unhideWhenUsed/>
    <w:pPr>
      <w:spacing w:after="100"/>
      <w:ind w:left="1760"/>
    </w:pPr>
  </w:style>
  <w:style w:type="paragraph" w:styleId="Nagwekspisutreci">
    <w:name w:val="TOC Heading"/>
    <w:uiPriority w:val="39"/>
    <w:unhideWhenUsed/>
  </w:style>
  <w:style w:type="paragraph" w:styleId="Spisilustracji">
    <w:name w:val="table of figures"/>
    <w:basedOn w:val="Normalny"/>
    <w:next w:val="Normalny"/>
    <w:uiPriority w:val="99"/>
    <w:unhideWhenUsed/>
    <w:pPr>
      <w:spacing w:after="0"/>
    </w:pPr>
  </w:style>
  <w:style w:type="paragraph" w:styleId="Nagwek">
    <w:name w:val="header"/>
    <w:basedOn w:val="Normalny"/>
    <w:link w:val="Nagwek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</w:style>
  <w:style w:type="paragraph" w:styleId="Stopka">
    <w:name w:val="footer"/>
    <w:basedOn w:val="Normalny"/>
    <w:link w:val="Stopka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</w:style>
  <w:style w:type="character" w:customStyle="1" w:styleId="AkapitzlistZnak">
    <w:name w:val="Akapit z listą Znak"/>
    <w:aliases w:val="Paragraf Znak"/>
    <w:link w:val="Akapitzlist"/>
    <w:locked/>
    <w:rsid w:val="005B403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iod@mazovia.pl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Pakiet 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745</Words>
  <Characters>4476</Characters>
  <Application>Microsoft Office Word</Application>
  <DocSecurity>0</DocSecurity>
  <Lines>37</Lines>
  <Paragraphs>10</Paragraphs>
  <ScaleCrop>false</ScaleCrop>
  <Company/>
  <LinksUpToDate>false</LinksUpToDate>
  <CharactersWithSpaces>5211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Kamila Szwedo</dc:creator>
  <cp:keywords/>
  <dc:description/>
  <cp:lastModifiedBy>Daria</cp:lastModifiedBy>
  <cp:revision>5</cp:revision>
  <dcterms:created xsi:type="dcterms:W3CDTF">2025-03-11T08:32:00Z</dcterms:created>
  <dcterms:modified xsi:type="dcterms:W3CDTF">2025-04-03T10:38:00Z</dcterms:modified>
</cp:coreProperties>
</file>